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media/image4.png" ContentType="image/png"/>
  <Override PartName="/word/media/image5.png" ContentType="image/png"/>
  <Override PartName="/word/media/image6.png" ContentType="image/png"/>
  <Override PartName="/word/media/image7.wmf" ContentType="image/x-wmf"/>
  <Override PartName="/word/media/image9.png" ContentType="image/png"/>
  <Override PartName="/word/media/image8.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ascii="Calibri Light" w:hAnsi="Calibri Light" w:cs="Calibri Light" w:asciiTheme="majorHAnsi" w:cstheme="majorHAnsi" w:hAnsiTheme="majorHAnsi"/>
          <w:b/>
          <w:b/>
          <w:sz w:val="32"/>
          <w:szCs w:val="32"/>
        </w:rPr>
      </w:pPr>
      <w:r>
        <w:rPr>
          <w:rFonts w:cs="Calibri Light" w:ascii="Calibri Light" w:hAnsi="Calibri Light" w:asciiTheme="majorHAnsi" w:cstheme="majorHAnsi" w:hAnsiTheme="majorHAnsi"/>
          <w:b/>
          <w:sz w:val="32"/>
          <w:szCs w:val="32"/>
        </w:rPr>
        <w:t>FUNDO DE APOSENTADORIA E PENSÃO ALEGRETEPREV</w:t>
      </w:r>
    </w:p>
    <w:p>
      <w:pPr>
        <w:pStyle w:val="Normal"/>
        <w:spacing w:lineRule="auto" w:line="240" w:before="0" w:after="0"/>
        <w:jc w:val="center"/>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spacing w:lineRule="auto" w:line="240" w:before="0" w:after="0"/>
        <w:jc w:val="center"/>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ascii="Calibri Light" w:hAnsi="Calibri Light" w:asciiTheme="majorHAnsi" w:cstheme="majorHAnsi" w:hAnsiTheme="majorHAnsi"/>
          <w:b/>
          <w:szCs w:val="24"/>
        </w:rPr>
        <w:t xml:space="preserve">RELATÓRIO DO SEGUNDO SEMESTRE </w:t>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ascii="Calibri Light" w:hAnsi="Calibri Light" w:asciiTheme="majorHAnsi" w:cstheme="majorHAnsi" w:hAnsiTheme="majorHAnsi"/>
          <w:b/>
          <w:szCs w:val="24"/>
        </w:rPr>
        <w:t>ANÁLISE DA ADERÊNCIA DA GESTÃO DOS RECURSOS DO RPPS A RESOLUÇÃO 4.963/2021 E POLÍTICA DE INVESTIMENTOS 2024</w:t>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ascii="Calibri Light" w:hAnsi="Calibri Light" w:asciiTheme="majorHAnsi" w:cstheme="majorHAnsi" w:hAnsiTheme="majorHAnsi"/>
          <w:b/>
          <w:szCs w:val="24"/>
        </w:rPr>
        <w:t xml:space="preserve">Em atendimento a Portaria/MTP Nº 1.467, de 2 de junho de 2022 </w:t>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cstheme="majorHAnsi" w:ascii="Calibri Light" w:hAnsi="Calibri Light"/>
          <w:b/>
          <w:szCs w:val="24"/>
        </w:rPr>
      </w:r>
    </w:p>
    <w:p>
      <w:pPr>
        <w:pStyle w:val="Normal"/>
        <w:spacing w:lineRule="auto" w:line="240" w:before="0" w:after="0"/>
        <w:jc w:val="center"/>
        <w:rPr>
          <w:rFonts w:ascii="Calibri Light" w:hAnsi="Calibri Light" w:cs="Calibri Light" w:asciiTheme="majorHAnsi" w:cstheme="majorHAnsi" w:hAnsiTheme="majorHAnsi"/>
          <w:b/>
          <w:b/>
          <w:szCs w:val="24"/>
        </w:rPr>
      </w:pPr>
      <w:r>
        <w:rPr>
          <w:rFonts w:cs="Calibri Light" w:ascii="Calibri Light" w:hAnsi="Calibri Light" w:asciiTheme="majorHAnsi" w:cstheme="majorHAnsi" w:hAnsiTheme="majorHAnsi"/>
          <w:b/>
          <w:szCs w:val="24"/>
        </w:rPr>
        <w:t>JANEIRO , 2025</w:t>
      </w:r>
      <w:r>
        <w:br w:type="page"/>
      </w:r>
    </w:p>
    <w:p>
      <w:pPr>
        <w:pStyle w:val="Ttulo1"/>
        <w:spacing w:before="0" w:after="160"/>
        <w:rPr>
          <w:rFonts w:ascii="Calibri Light" w:hAnsi="Calibri Light" w:cs="Calibri Light" w:asciiTheme="majorHAnsi" w:cstheme="majorHAnsi" w:hAnsiTheme="majorHAnsi"/>
          <w:szCs w:val="24"/>
        </w:rPr>
      </w:pPr>
      <w:bookmarkStart w:id="0" w:name="_Toc123804038"/>
      <w:bookmarkEnd w:id="0"/>
      <w:r>
        <w:rPr>
          <w:rFonts w:cs="Calibri Light" w:ascii="Calibri Light" w:hAnsi="Calibri Light" w:asciiTheme="majorHAnsi" w:cstheme="majorHAnsi" w:hAnsiTheme="majorHAnsi"/>
          <w:szCs w:val="24"/>
        </w:rPr>
        <w:t>INTRODUÇÃO</w:t>
      </w:r>
    </w:p>
    <w:p>
      <w:pPr>
        <w:pStyle w:val="CorpodoTexto"/>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Em cumprimento as determinações legais, em especial as do art. 129 da Portaria 1.467 do MTP, de 02 de junho de 2022, apresentamos o Relatório de Análise da Aderência da Gestão dos Recursos do RPPS conforme a Resolução CMN 4.963/2021, e a Política de Investimentos do exercício financeiro de 2024, do  </w:t>
      </w:r>
      <w:r>
        <w:rPr>
          <w:rFonts w:cs="Calibri Light" w:ascii="Calibri Light" w:hAnsi="Calibri Light" w:asciiTheme="majorHAnsi" w:cstheme="majorHAnsi" w:hAnsiTheme="majorHAnsi"/>
          <w:b/>
          <w:bCs/>
        </w:rPr>
        <w:t>FUNDO DE APOSENTADORIA E PENSÃO ALEGRETEPREV, inscrito no CNPJ: 11.239.569/0001-20.</w:t>
      </w:r>
    </w:p>
    <w:p>
      <w:pPr>
        <w:pStyle w:val="CorpodoTexto"/>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Este relatório tem como objetivo acompanhar, analisar e identificar as aplicações do RPPS, se estão sendo atendidas as normas em vigor e a política de investimentos na gestão de recursos do FUNDO. A gestão eficaz dos riscos é fundamental para fornecer informações essenciais à tomada de decisões, melhorar o desempenho na realização dos objetivos das políticas organizacionais e dos serviços públicos, além de ajudar na prevenção de perdas e no gerenciamento de incidentes.</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A política de investimentos para o ano de 2024 foi APROVADA </w:t>
      </w:r>
      <w:r>
        <w:rPr>
          <w:rFonts w:cs="Calibri Light" w:ascii="Calibri Light" w:hAnsi="Calibri Light" w:asciiTheme="majorHAnsi" w:cstheme="majorHAnsi" w:hAnsiTheme="majorHAnsi"/>
          <w:b/>
          <w:bCs/>
        </w:rPr>
        <w:t xml:space="preserve">em </w:t>
      </w:r>
      <w:r>
        <w:rPr/>
        <w:t>24/11/2023</w:t>
      </w:r>
      <w:r>
        <w:rPr>
          <w:rFonts w:cs="Calibri Light" w:ascii="Calibri Light" w:hAnsi="Calibri Light" w:asciiTheme="majorHAnsi" w:cstheme="majorHAnsi" w:hAnsiTheme="majorHAnsi"/>
        </w:rPr>
        <w:t xml:space="preserve">, cumprindo o prazo final de envio que era até 31/12/2023. Previu que os recursos do RPPS devem ser aplicados conforme a Resolução CMN 4.963/2021 e Portaria   MTP 1467/2022, tendo presentes as condições de segurança, rentabilidade, solvência, liquidez e transparência. Observada a legislação vigente, devem ser alocados, conforme as diretrizes definidas na Política de Investimentos, nos seguintes segmentos de aplicação: </w:t>
      </w:r>
      <w:r>
        <w:rPr>
          <w:rFonts w:cs="Calibri Light" w:ascii="Calibri Light" w:hAnsi="Calibri Light" w:asciiTheme="majorHAnsi" w:cstheme="majorHAnsi" w:hAnsiTheme="majorHAnsi"/>
          <w:b/>
          <w:bCs/>
        </w:rPr>
        <w:t>renda fixa, renda variável e investimento no exterior.</w:t>
      </w:r>
    </w:p>
    <w:p>
      <w:pPr>
        <w:pStyle w:val="CorpodoTexto"/>
        <w:ind w:hanging="0"/>
        <w:rPr>
          <w:rFonts w:ascii="Calibri Light" w:hAnsi="Calibri Light" w:cs="Calibri Light" w:asciiTheme="majorHAnsi" w:cstheme="majorHAnsi" w:hAnsiTheme="majorHAnsi"/>
          <w:b/>
          <w:b/>
          <w:bCs/>
          <w:u w:val="single"/>
        </w:rPr>
      </w:pPr>
      <w:r>
        <w:rPr>
          <w:rFonts w:cs="Calibri Light" w:ascii="Calibri Light" w:hAnsi="Calibri Light" w:asciiTheme="majorHAnsi" w:cstheme="majorHAnsi" w:hAnsiTheme="majorHAnsi"/>
          <w:b/>
          <w:bCs/>
        </w:rPr>
        <w:t xml:space="preserve">Os valores recebidos a </w:t>
      </w:r>
      <w:r>
        <w:rPr>
          <w:rFonts w:cs="Calibri Light" w:ascii="Calibri Light" w:hAnsi="Calibri Light" w:asciiTheme="majorHAnsi" w:cstheme="majorHAnsi" w:hAnsiTheme="majorHAnsi"/>
          <w:b/>
          <w:bCs/>
          <w:u w:val="single"/>
        </w:rPr>
        <w:t>título de taxa de administração foram mantidos de forma segregada dos recursos destinados ao pagamento de benefícios, em conta individual, distinta dos demais recursos do ALEGRETEPREV.</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Enquadramento APROVADO e LANÇADO na PI /DPIN 2024:</w:t>
      </w:r>
    </w:p>
    <w:p>
      <w:pPr>
        <w:pStyle w:val="CorpodoTexto"/>
        <w:ind w:hanging="0"/>
        <w:rPr/>
      </w:pPr>
      <w:r>
        <w:rPr/>
        <w:drawing>
          <wp:inline distT="0" distB="0" distL="0" distR="0">
            <wp:extent cx="5760085" cy="539813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5760085" cy="5398135"/>
                    </a:xfrm>
                    <a:prstGeom prst="rect">
                      <a:avLst/>
                    </a:prstGeom>
                  </pic:spPr>
                </pic:pic>
              </a:graphicData>
            </a:graphic>
          </wp:inline>
        </w:drawing>
      </w:r>
    </w:p>
    <w:p>
      <w:pPr>
        <w:pStyle w:val="CorpodoTexto"/>
        <w:ind w:hanging="0"/>
        <w:rPr/>
      </w:pPr>
      <w:r>
        <w:rPr/>
        <w:t xml:space="preserve">Imagem 1 Fonte: ANEXO I esboço PI 2024. </w:t>
      </w:r>
    </w:p>
    <w:p>
      <w:pPr>
        <w:pStyle w:val="CorpodoTexto"/>
        <w:ind w:hanging="0"/>
        <w:rPr/>
      </w:pPr>
      <w:r>
        <w:rPr>
          <w:rFonts w:cs="Calibri Light" w:ascii="Calibri Light" w:hAnsi="Calibri Light" w:asciiTheme="majorHAnsi" w:cstheme="majorHAnsi" w:hAnsiTheme="majorHAnsi"/>
        </w:rPr>
        <w:tab/>
      </w:r>
      <w:r>
        <w:rPr>
          <w:rFonts w:cs="Calibri Light" w:ascii="Calibri Light" w:hAnsi="Calibri Light" w:asciiTheme="majorHAnsi" w:cstheme="majorHAnsi" w:hAnsiTheme="majorHAnsi"/>
          <w:b/>
          <w:bCs/>
        </w:rPr>
        <w:t>RENDIMENTOS</w:t>
      </w:r>
      <w:r>
        <w:rPr>
          <w:rFonts w:cs="Calibri Light" w:ascii="Calibri Light" w:hAnsi="Calibri Light" w:asciiTheme="majorHAnsi" w:cstheme="majorHAnsi" w:hAnsiTheme="majorHAnsi"/>
          <w:b/>
          <w:bCs/>
          <w:i/>
          <w:iCs/>
        </w:rPr>
        <w:t xml:space="preserve"> x</w:t>
      </w:r>
      <w:r>
        <w:rPr>
          <w:rFonts w:cs="Calibri Light" w:ascii="Calibri Light" w:hAnsi="Calibri Light" w:asciiTheme="majorHAnsi" w:cstheme="majorHAnsi" w:hAnsiTheme="majorHAnsi"/>
          <w:b/>
          <w:bCs/>
        </w:rPr>
        <w:t xml:space="preserve"> PI</w:t>
      </w:r>
    </w:p>
    <w:p>
      <w:pPr>
        <w:pStyle w:val="CorpodoTexto"/>
        <w:spacing w:before="0" w:after="0"/>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 política de investimentos do ALEGRETEPREV no ano de 2024 obedeceu  às diretrizes estabelecidas, garantindo a segurança, rentabilidade, solvência, liquidez e transparência dos recursos. Os valores a título de taxa de administração foram segregados dos recursos destinados ao pagamento de benefícios, mantidos em conta individual e distinta.</w:t>
      </w:r>
    </w:p>
    <w:p>
      <w:pPr>
        <w:pStyle w:val="CorpodoTexto"/>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Para cumprir essas diretrizes, os investimentos podem ser alocados nos seguintes segmentos conforme a legislação vigente:</w:t>
      </w:r>
    </w:p>
    <w:p>
      <w:pPr>
        <w:pStyle w:val="CorpodoTexto"/>
        <w:numPr>
          <w:ilvl w:val="0"/>
          <w:numId w:val="1"/>
        </w:numPr>
        <w:tabs>
          <w:tab w:val="left" w:pos="1418" w:leader="none"/>
          <w:tab w:val="left" w:pos="1985" w:leader="none"/>
          <w:tab w:val="left" w:pos="10348" w:leader="none"/>
        </w:tabs>
        <w:spacing w:before="0" w:after="0"/>
        <w:ind w:left="0" w:firstLine="1134"/>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Renda Fixa: Investimentos em títulos públicos, debêntures, CDBs, entre outros, com o objetivo de proporcionar segurança e previsibilidade de retorno.</w:t>
      </w:r>
    </w:p>
    <w:p>
      <w:pPr>
        <w:pStyle w:val="CorpodoTexto"/>
        <w:numPr>
          <w:ilvl w:val="0"/>
          <w:numId w:val="1"/>
        </w:numPr>
        <w:tabs>
          <w:tab w:val="left" w:pos="1418" w:leader="none"/>
          <w:tab w:val="left" w:pos="1985" w:leader="none"/>
          <w:tab w:val="left" w:pos="10348" w:leader="none"/>
        </w:tabs>
        <w:spacing w:before="0" w:after="0"/>
        <w:ind w:left="0" w:firstLine="1134"/>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Renda Variável: Investimentos em ações e fundos de investimento em ações, visando maior potencial de rentabilidade a longo prazo, embora com maior risco.</w:t>
      </w:r>
    </w:p>
    <w:p>
      <w:pPr>
        <w:pStyle w:val="CorpodoTexto"/>
        <w:numPr>
          <w:ilvl w:val="0"/>
          <w:numId w:val="1"/>
        </w:numPr>
        <w:tabs>
          <w:tab w:val="left" w:pos="1418" w:leader="none"/>
          <w:tab w:val="left" w:pos="1985" w:leader="none"/>
          <w:tab w:val="left" w:pos="10348" w:leader="none"/>
        </w:tabs>
        <w:spacing w:before="0" w:after="0"/>
        <w:ind w:left="0" w:firstLine="1134"/>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Investimento no Exterior: Possibilidade de diversificação geográfica dos investimentos, seguindo as normas do Conselho Monetário Nacional (CMN) e do Banco Central do Brasil (Bacen).</w:t>
      </w:r>
    </w:p>
    <w:p>
      <w:pPr>
        <w:pStyle w:val="CorpodoTexto"/>
        <w:tabs>
          <w:tab w:val="left" w:pos="1418" w:leader="none"/>
          <w:tab w:val="left" w:pos="1985" w:leader="none"/>
          <w:tab w:val="left" w:pos="10348" w:leader="none"/>
        </w:tabs>
        <w:spacing w:before="0" w:after="0"/>
        <w:ind w:left="1134"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b/>
        <w:tab/>
        <w:t xml:space="preserve">                     </w:t>
      </w:r>
      <w:r>
        <w:rPr>
          <w:rFonts w:cs="Calibri Light" w:ascii="Calibri Light" w:hAnsi="Calibri Light" w:asciiTheme="majorHAnsi" w:cstheme="majorHAnsi" w:hAnsiTheme="majorHAnsi"/>
          <w:b/>
          <w:bCs/>
        </w:rPr>
        <w:t>RENDIMENTOS 2024</w:t>
      </w:r>
    </w:p>
    <w:p>
      <w:pPr>
        <w:pStyle w:val="CorpodoTexto"/>
        <w:ind w:hanging="0"/>
        <w:rPr>
          <w:rFonts w:ascii="Calibri Light" w:hAnsi="Calibri Light" w:cs="Calibri Light" w:asciiTheme="majorHAnsi" w:cstheme="majorHAnsi" w:hAnsiTheme="majorHAnsi"/>
          <w:u w:val="single"/>
        </w:rPr>
      </w:pPr>
      <w:r>
        <w:rPr>
          <w:rFonts w:cs="Calibri Light" w:ascii="Calibri Light" w:hAnsi="Calibri Light" w:asciiTheme="majorHAnsi" w:cstheme="majorHAnsi" w:hAnsiTheme="majorHAnsi"/>
          <w:u w:val="single"/>
        </w:rPr>
        <w:t>Total de rendimentos apurados nas aplicações financeiras, no exercício de 2024, foi de</w:t>
      </w:r>
      <w:r>
        <w:rPr>
          <w:rFonts w:cs="Calibri Light" w:ascii="Calibri Light" w:hAnsi="Calibri Light" w:asciiTheme="majorHAnsi" w:cstheme="majorHAnsi" w:hAnsiTheme="majorHAnsi"/>
          <w:b/>
          <w:bCs/>
          <w:u w:val="single"/>
        </w:rPr>
        <w:t xml:space="preserve"> R$ 20.506.519,04 </w:t>
      </w:r>
      <w:r>
        <w:rPr>
          <w:rFonts w:cs="Calibri Light" w:ascii="Calibri Light" w:hAnsi="Calibri Light" w:asciiTheme="majorHAnsi" w:cstheme="majorHAnsi" w:hAnsiTheme="majorHAnsi"/>
          <w:u w:val="single"/>
        </w:rPr>
        <w:t xml:space="preserve">sendo JULHO o melhor mês de rendimento para o RPPS, onde lucrou a importância de </w:t>
      </w:r>
      <w:r>
        <w:rPr>
          <w:rFonts w:cs="Calibri Light" w:ascii="Calibri Light" w:hAnsi="Calibri Light" w:asciiTheme="majorHAnsi" w:cstheme="majorHAnsi" w:hAnsiTheme="majorHAnsi"/>
          <w:b/>
          <w:bCs/>
          <w:u w:val="single"/>
        </w:rPr>
        <w:t xml:space="preserve">R$ 2.200.012,25. Ainda vale lembrar que o ALEGRETEPREV, não fechou nenhum mês de rentabilidade negativa. </w:t>
      </w:r>
    </w:p>
    <w:p>
      <w:pPr>
        <w:pStyle w:val="Ttulo1"/>
        <w:spacing w:before="0" w:after="160"/>
        <w:rPr>
          <w:rFonts w:ascii="Calibri Light" w:hAnsi="Calibri Light" w:cs="Calibri Light" w:asciiTheme="majorHAnsi" w:cstheme="majorHAnsi" w:hAnsiTheme="majorHAnsi"/>
          <w:szCs w:val="24"/>
        </w:rPr>
      </w:pPr>
      <w:bookmarkStart w:id="1" w:name="_Toc123804054"/>
      <w:r>
        <w:rPr>
          <w:rFonts w:cs="Calibri Light" w:ascii="Calibri Light" w:hAnsi="Calibri Light" w:asciiTheme="majorHAnsi" w:cstheme="majorHAnsi" w:hAnsiTheme="majorHAnsi"/>
          <w:szCs w:val="24"/>
        </w:rPr>
        <w:t>COMPOSIÇÃO DE INVESTIMENTOS</w:t>
      </w:r>
      <w:bookmarkEnd w:id="1"/>
      <w:r>
        <w:rPr>
          <w:rFonts w:cs="Calibri Light" w:ascii="Calibri Light" w:hAnsi="Calibri Light" w:asciiTheme="majorHAnsi" w:cstheme="majorHAnsi" w:hAnsiTheme="majorHAnsi"/>
          <w:szCs w:val="24"/>
        </w:rPr>
        <w:t xml:space="preserve"> E BANCOS</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Os recursos financeiros do RPPS foram geridos em conformidade com a política de investimentos, Resolução em vigor e Instituições Financeiras previamente credenciadas junto ao RPPS.</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O montante do capital do ALEGRETEPREV apurado em 31.12.2024  foi de  R$ 229.253.190,09 investido nos fundos de investimentos e somado a C/C conforme:</w:t>
      </w:r>
    </w:p>
    <w:p>
      <w:pPr>
        <w:pStyle w:val="Normal"/>
        <w:spacing w:before="0" w:after="0"/>
        <w:rPr>
          <w:rFonts w:ascii="Calibri Light" w:hAnsi="Calibri Light" w:cs="Calibri Light" w:asciiTheme="majorHAnsi" w:cstheme="majorHAnsi" w:hAnsiTheme="majorHAnsi"/>
          <w:szCs w:val="24"/>
          <w:highlight w:val="white"/>
        </w:rPr>
      </w:pPr>
      <w:r>
        <w:rPr/>
        <w:drawing>
          <wp:inline distT="0" distB="0" distL="0" distR="0">
            <wp:extent cx="5760085" cy="4109720"/>
            <wp:effectExtent l="0" t="0" r="0" b="0"/>
            <wp:docPr id="2" name="Figura1" descr="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Aplicativo&#10;&#10;Descrição gerada automaticamente com confiança média"/>
                    <pic:cNvPicPr>
                      <a:picLocks noChangeAspect="1" noChangeArrowheads="1"/>
                    </pic:cNvPicPr>
                  </pic:nvPicPr>
                  <pic:blipFill>
                    <a:blip r:embed="rId3"/>
                    <a:stretch>
                      <a:fillRect/>
                    </a:stretch>
                  </pic:blipFill>
                  <pic:spPr bwMode="auto">
                    <a:xfrm>
                      <a:off x="0" y="0"/>
                      <a:ext cx="5760085" cy="4109720"/>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Imagem  2 - Fonte: RELATÓRIO REFERÊNCIA</w:t>
      </w:r>
    </w:p>
    <w:p>
      <w:pPr>
        <w:pStyle w:val="CorpodoTexto"/>
        <w:ind w:hanging="0"/>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b/>
          <w:bCs/>
        </w:rPr>
        <w:t>OS FUNDOS APLICADOS ESTÃO DISTRIBUÍDOS NAS INSTITUIÇÕES:</w:t>
      </w:r>
    </w:p>
    <w:p>
      <w:pPr>
        <w:pStyle w:val="CorpodoTexto"/>
        <w:ind w:hanging="0"/>
        <w:rPr>
          <w:rFonts w:ascii="Calibri Light" w:hAnsi="Calibri Light" w:cs="Calibri Light" w:asciiTheme="majorHAnsi" w:cstheme="majorHAnsi" w:hAnsiTheme="majorHAnsi"/>
          <w:b/>
          <w:b/>
          <w:bCs/>
        </w:rPr>
      </w:pPr>
      <w:r>
        <w:rPr/>
        <w:drawing>
          <wp:inline distT="0" distB="0" distL="0" distR="0">
            <wp:extent cx="5791200" cy="2301240"/>
            <wp:effectExtent l="0" t="0" r="0" b="0"/>
            <wp:docPr id="3" name="Figura2"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Gráfico&#10;&#10;Descrição gerada automaticamente"/>
                    <pic:cNvPicPr>
                      <a:picLocks noChangeAspect="1" noChangeArrowheads="1"/>
                    </pic:cNvPicPr>
                  </pic:nvPicPr>
                  <pic:blipFill>
                    <a:blip r:embed="rId4"/>
                    <a:stretch>
                      <a:fillRect/>
                    </a:stretch>
                  </pic:blipFill>
                  <pic:spPr bwMode="auto">
                    <a:xfrm>
                      <a:off x="0" y="0"/>
                      <a:ext cx="5791200" cy="2301240"/>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rPr>
        <w:t>Imagem  3 - Fonte: RELATÓRIO REFERÊNCIA</w:t>
      </w:r>
    </w:p>
    <w:p>
      <w:pPr>
        <w:pStyle w:val="CorpodoTexto"/>
        <w:ind w:hanging="0"/>
        <w:rPr>
          <w:rFonts w:ascii="Calibri Light" w:hAnsi="Calibri Light" w:cs="Calibri Light" w:asciiTheme="majorHAnsi" w:cstheme="majorHAnsi" w:hAnsiTheme="majorHAnsi"/>
          <w:u w:val="single"/>
        </w:rPr>
      </w:pPr>
      <w:r>
        <w:rPr>
          <w:rFonts w:cs="Calibri Light" w:ascii="Calibri Light" w:hAnsi="Calibri Light" w:asciiTheme="majorHAnsi" w:cstheme="majorHAnsi" w:hAnsiTheme="majorHAnsi"/>
          <w:u w:val="single"/>
        </w:rPr>
        <w:t xml:space="preserve">Reforçamos que as Instituições Financeiras que o ALEGRETEPREV está aplicando, estão aptas a receber recursos previdenciários, conforme a lista exaustiva do MPS atualizada em 06/05/2024. </w:t>
      </w:r>
    </w:p>
    <w:p>
      <w:pPr>
        <w:pStyle w:val="CorpodoTexto"/>
        <w:ind w:hanging="0"/>
        <w:rPr>
          <w:rFonts w:ascii="Calibri Light" w:hAnsi="Calibri Light" w:cs="Calibri Light" w:asciiTheme="majorHAnsi" w:cstheme="majorHAnsi" w:hAnsiTheme="majorHAnsi"/>
        </w:rPr>
      </w:pPr>
      <w:r>
        <w:rPr>
          <w:rFonts w:cs="Calibri Light" w:cstheme="majorHAnsi" w:ascii="Calibri Light" w:hAnsi="Calibri Light"/>
        </w:rPr>
      </w:r>
    </w:p>
    <w:p>
      <w:pPr>
        <w:pStyle w:val="Ttulo2"/>
        <w:spacing w:before="0" w:after="160"/>
        <w:rPr>
          <w:rFonts w:ascii="Calibri Light" w:hAnsi="Calibri Light" w:cs="Calibri Light" w:asciiTheme="majorHAnsi" w:cstheme="majorHAnsi" w:hAnsiTheme="majorHAnsi"/>
          <w:szCs w:val="24"/>
        </w:rPr>
      </w:pPr>
      <w:bookmarkStart w:id="2" w:name="_Toc123804059"/>
      <w:r>
        <w:rPr>
          <w:rFonts w:cs="Calibri Light" w:ascii="Calibri Light" w:hAnsi="Calibri Light" w:asciiTheme="majorHAnsi" w:cstheme="majorHAnsi" w:hAnsiTheme="majorHAnsi"/>
          <w:szCs w:val="24"/>
        </w:rPr>
        <w:t>ACOMPANHAMENTO DA CARTEIRA DE INVESTIMENTOS</w:t>
      </w:r>
      <w:bookmarkEnd w:id="2"/>
      <w:r>
        <w:rPr>
          <w:rFonts w:cs="Calibri Light" w:ascii="Calibri Light" w:hAnsi="Calibri Light" w:asciiTheme="majorHAnsi" w:cstheme="majorHAnsi" w:hAnsiTheme="majorHAnsi"/>
          <w:szCs w:val="24"/>
        </w:rPr>
        <w:t xml:space="preserve"> </w:t>
      </w:r>
      <w:r>
        <w:rPr>
          <w:rFonts w:cs="Calibri Light" w:ascii="Calibri Light" w:hAnsi="Calibri Light" w:asciiTheme="majorHAnsi" w:cstheme="majorHAnsi" w:hAnsiTheme="majorHAnsi"/>
          <w:i/>
          <w:iCs/>
          <w:szCs w:val="24"/>
        </w:rPr>
        <w:t>VERSUS</w:t>
      </w:r>
      <w:r>
        <w:rPr>
          <w:rFonts w:cs="Calibri Light" w:ascii="Calibri Light" w:hAnsi="Calibri Light" w:asciiTheme="majorHAnsi" w:cstheme="majorHAnsi" w:hAnsiTheme="majorHAnsi"/>
          <w:szCs w:val="24"/>
        </w:rPr>
        <w:t xml:space="preserve"> A META</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 meta atuarial da carteira de investimentos para o exercício de 2024, determinada na Política de Investimentos, foi de (INPC+5,09%). O ALEGRETEPREV em 31.12.2024 obteve uma rentabilidade acumulada de R$ 20.506.519,04 o que equivale a  96,68% da meta da PI. O RPPS atingiu 9,73% no exercício quando a meta era de 10,10%.</w:t>
      </w:r>
    </w:p>
    <w:p>
      <w:pPr>
        <w:pStyle w:val="CorpodoTexto"/>
        <w:ind w:hanging="0"/>
        <w:rPr>
          <w:rFonts w:ascii="Calibri Light" w:hAnsi="Calibri Light" w:cs="Calibri Light" w:asciiTheme="majorHAnsi" w:cstheme="majorHAnsi" w:hAnsiTheme="majorHAnsi"/>
        </w:rPr>
      </w:pPr>
      <w:r>
        <w:rPr/>
        <w:drawing>
          <wp:inline distT="0" distB="0" distL="0" distR="0">
            <wp:extent cx="5760085" cy="535305"/>
            <wp:effectExtent l="0" t="0" r="0" b="0"/>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5"/>
                    <a:stretch>
                      <a:fillRect/>
                    </a:stretch>
                  </pic:blipFill>
                  <pic:spPr bwMode="auto">
                    <a:xfrm>
                      <a:off x="0" y="0"/>
                      <a:ext cx="5760085" cy="535305"/>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Imagem 4 - Fonte: RELATÓRIO REFERÊNCIA</w:t>
      </w:r>
    </w:p>
    <w:p>
      <w:pPr>
        <w:pStyle w:val="CorpodoTexto"/>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Ao longo do exercício de 2024, foram aplicados em 3 novos fundos , SICREDI LIQUIDEZ EMPRESARIAL FI RENDA FIXA, onde obteve rendimento de R$ 324.536,60, no BB TESOURO FIC RENDA FIXA SELIC LP, onde obteve rendimento de R$ 612.999,98, no ITAÚ INSTITUCIONAL FI RENDA FIXA REFERENCIADO DI, onde obteve rendimento de R$ 82.898,79. </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 exposição inicial em CDI em janeiro era de 43,02% e fechou o ano com 78,52%.</w:t>
      </w:r>
    </w:p>
    <w:p>
      <w:pPr>
        <w:pStyle w:val="Normal"/>
        <w:spacing w:before="0" w:after="0"/>
        <w:rPr>
          <w:rFonts w:ascii="Calibri Light" w:hAnsi="Calibri Light" w:cs="Calibri Light" w:asciiTheme="majorHAnsi" w:cstheme="majorHAnsi" w:hAnsiTheme="majorHAnsi"/>
          <w:szCs w:val="24"/>
          <w:highlight w:val="yellow"/>
        </w:rPr>
      </w:pPr>
      <w:r>
        <w:rPr/>
        <w:drawing>
          <wp:inline distT="0" distB="0" distL="0" distR="0">
            <wp:extent cx="5760085" cy="2078990"/>
            <wp:effectExtent l="0" t="0" r="0" b="0"/>
            <wp:docPr id="5" name="Figura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Tabela&#10;&#10;Descrição gerada automaticamente"/>
                    <pic:cNvPicPr>
                      <a:picLocks noChangeAspect="1" noChangeArrowheads="1"/>
                    </pic:cNvPicPr>
                  </pic:nvPicPr>
                  <pic:blipFill>
                    <a:blip r:embed="rId6"/>
                    <a:stretch>
                      <a:fillRect/>
                    </a:stretch>
                  </pic:blipFill>
                  <pic:spPr bwMode="auto">
                    <a:xfrm>
                      <a:off x="0" y="0"/>
                      <a:ext cx="5760085" cy="2078990"/>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Imagem 5 - Fonte: RELATÓRIO REFERÊNCIA</w:t>
      </w:r>
    </w:p>
    <w:p>
      <w:pPr>
        <w:pStyle w:val="Normal"/>
        <w:spacing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Ttulo2"/>
        <w:rPr>
          <w:rFonts w:ascii="Calibri Light" w:hAnsi="Calibri Light" w:cs="Calibri Light" w:asciiTheme="majorHAnsi" w:cstheme="majorHAnsi" w:hAnsiTheme="majorHAnsi"/>
          <w:szCs w:val="24"/>
        </w:rPr>
      </w:pPr>
      <w:bookmarkStart w:id="3" w:name="_Toc123804055"/>
      <w:bookmarkEnd w:id="3"/>
      <w:r>
        <w:rPr>
          <w:rFonts w:cs="Calibri Light" w:ascii="Calibri Light" w:hAnsi="Calibri Light" w:asciiTheme="majorHAnsi" w:cstheme="majorHAnsi" w:hAnsiTheme="majorHAnsi"/>
          <w:szCs w:val="24"/>
        </w:rPr>
        <w:t>ELABORAÇÃO DO DEMONSTRATIVO DAS APLICAÇÕES E INVESTIMENTOS DOS RECURSOS – DAIR</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 envio do DAIR, que é um dos critérios para a emissão do CRP, deve ocorrer </w:t>
      </w:r>
      <w:r>
        <w:rPr>
          <w:rFonts w:cs="Calibri Light" w:ascii="Calibri Light" w:hAnsi="Calibri Light" w:asciiTheme="majorHAnsi" w:cstheme="majorHAnsi" w:hAnsiTheme="majorHAnsi"/>
          <w:shd w:fill="FFFFFF" w:val="clear"/>
        </w:rPr>
        <w:t>até o último dia de cada mês, relativamente às informações das aplicações do mês anterior</w:t>
      </w:r>
      <w:r>
        <w:rPr>
          <w:rFonts w:cs="Calibri Light" w:ascii="Calibri Light" w:hAnsi="Calibri Light" w:asciiTheme="majorHAnsi" w:cstheme="majorHAnsi" w:hAnsiTheme="majorHAnsi"/>
        </w:rPr>
        <w:t>, segundo o art. 241, inciso IV, alínea “b” da Portaria do MTP nº 1.467 de 2022.</w:t>
      </w:r>
    </w:p>
    <w:p>
      <w:pPr>
        <w:pStyle w:val="Normal"/>
        <w:spacing w:lineRule="auto" w:line="240" w:before="0" w:after="0"/>
        <w:rPr/>
      </w:pPr>
      <w:hyperlink r:id="rId7">
        <w:r>
          <w:rPr>
            <w:rStyle w:val="LinkdaInternet"/>
            <w:rFonts w:cs="Calibri Light" w:ascii="Calibri Light" w:hAnsi="Calibri Light" w:asciiTheme="majorHAnsi" w:cstheme="majorHAnsi" w:hAnsiTheme="majorHAnsi"/>
            <w:szCs w:val="24"/>
          </w:rPr>
          <w:t>https://cadprev.previdencia.gov.br/Cadprev/pages/modulos/dair/consultarDemonstrativos.xhtml</w:t>
        </w:r>
      </w:hyperlink>
    </w:p>
    <w:p>
      <w:pPr>
        <w:pStyle w:val="Normal"/>
        <w:spacing w:lineRule="auto" w:line="240"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CorpodoTexto"/>
        <w:ind w:hanging="0"/>
        <w:rPr>
          <w:rFonts w:ascii="Calibri Light" w:hAnsi="Calibri Light" w:cs="Calibri Light" w:asciiTheme="majorHAnsi" w:cstheme="majorHAnsi" w:hAnsiTheme="majorHAnsi"/>
          <w:b/>
          <w:b/>
          <w:bCs/>
          <w:u w:val="single"/>
        </w:rPr>
      </w:pPr>
      <w:r>
        <w:rPr>
          <w:rFonts w:cs="Calibri Light" w:ascii="Calibri Light" w:hAnsi="Calibri Light" w:asciiTheme="majorHAnsi" w:cstheme="majorHAnsi" w:hAnsiTheme="majorHAnsi"/>
          <w:b/>
          <w:bCs/>
          <w:u w:val="single"/>
        </w:rPr>
        <w:t xml:space="preserve">Da consulta aos dados disponíveis no site eletrônico do MPS comprovam que durante o semestre os DAIR foram enviados dentro do prazo. Os limites dos investimentos do ALEGRETEPREV se mantiveram enquadrados. </w:t>
      </w:r>
    </w:p>
    <w:p>
      <w:pPr>
        <w:pStyle w:val="CorpodoTexto"/>
        <w:rPr>
          <w:rFonts w:ascii="Calibri Light" w:hAnsi="Calibri Light" w:cs="Calibri Light" w:asciiTheme="majorHAnsi" w:cstheme="majorHAnsi" w:hAnsiTheme="majorHAnsi"/>
          <w:b/>
          <w:b/>
          <w:bCs/>
          <w:u w:val="single"/>
        </w:rPr>
      </w:pPr>
      <w:r>
        <w:rPr>
          <w:rFonts w:cs="Calibri Light" w:cstheme="majorHAnsi" w:ascii="Calibri Light" w:hAnsi="Calibri Light"/>
          <w:b/>
          <w:bCs/>
          <w:u w:val="single"/>
        </w:rPr>
      </w:r>
    </w:p>
    <w:p>
      <w:pPr>
        <w:pStyle w:val="Ttulododocumento"/>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MONITORAMENTO DA POLÍTICA DE INVESTIMENTOS</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Como já tratado anteriormente, a Política de Investimentos traz os limites de alocação em ativos de renda fixa, renda variável, estruturados, fundos imobiliários, em consonância com a legislação vigente. Além desses limites, há vedações específicas que visam dotar os gestores de orientações quanto à alocação dos recursos financeiros em produtos e ativos adequados ao perfil e às necessidades atuariais do RPPS. São utilizados cenários projetados pelo mercado atual e futuro, bem como análises realizadas pela equipe da Consultoria Referência em conjunto com Comitê de investimentos. </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 enquadramento final do exercício demonstramos abaixo: </w:t>
      </w:r>
    </w:p>
    <w:p>
      <w:pPr>
        <w:pStyle w:val="CorpodoTexto"/>
        <w:ind w:hanging="0"/>
        <w:rPr>
          <w:rFonts w:ascii="Calibri Light" w:hAnsi="Calibri Light" w:cs="Calibri Light" w:asciiTheme="majorHAnsi" w:cstheme="majorHAnsi" w:hAnsiTheme="majorHAnsi"/>
        </w:rPr>
      </w:pPr>
      <w:r>
        <w:rPr/>
        <w:drawing>
          <wp:inline distT="0" distB="0" distL="0" distR="0">
            <wp:extent cx="5760085" cy="1619250"/>
            <wp:effectExtent l="0" t="0" r="0" b="0"/>
            <wp:docPr id="6" name="Figura5"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descr="Tabela&#10;&#10;Descrição gerada automaticamente"/>
                    <pic:cNvPicPr>
                      <a:picLocks noChangeAspect="1" noChangeArrowheads="1"/>
                    </pic:cNvPicPr>
                  </pic:nvPicPr>
                  <pic:blipFill>
                    <a:blip r:embed="rId8"/>
                    <a:stretch>
                      <a:fillRect/>
                    </a:stretch>
                  </pic:blipFill>
                  <pic:spPr bwMode="auto">
                    <a:xfrm>
                      <a:off x="0" y="0"/>
                      <a:ext cx="5760085" cy="1619250"/>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Imagem  6- Fonte: RELATÓRIO REFERÊNCIA</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OBS: O valor de R$ 1.377.063,10 que é demonstrado como “desenquadrado” não está sendo apontado no envio do DAIR, são valores referente as ações BANRISUL ON N1 (BRSR3) e BANRISUL PNB N1 (BRSR6) recebidas da liquidação do fundo AUSTRO PIPE. Estas ações estão sendo monitoradas, para uma futura venda.</w:t>
      </w:r>
    </w:p>
    <w:p>
      <w:pPr>
        <w:pStyle w:val="CorpodoTexto"/>
        <w:ind w:hanging="0"/>
        <w:rPr>
          <w:rFonts w:ascii="Calibri Light" w:hAnsi="Calibri Light" w:cs="Calibri Light" w:asciiTheme="majorHAnsi" w:cstheme="majorHAnsi" w:hAnsiTheme="majorHAnsi"/>
        </w:rPr>
      </w:pPr>
      <w:r>
        <w:rPr>
          <w:rFonts w:cs="Calibri Light" w:cstheme="majorHAnsi" w:ascii="Calibri Light" w:hAnsi="Calibri Light"/>
        </w:rPr>
      </w:r>
    </w:p>
    <w:p>
      <w:pPr>
        <w:pStyle w:val="CorpodoTexto"/>
        <w:ind w:hanging="0"/>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lineRule="auto" w:line="240"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lineRule="auto" w:line="259"/>
        <w:jc w:val="left"/>
        <w:rPr>
          <w:rFonts w:ascii="Calibri Light" w:hAnsi="Calibri Light" w:cs="Calibri Light" w:asciiTheme="majorHAnsi" w:cstheme="majorHAnsi" w:hAnsiTheme="majorHAnsi"/>
          <w:b/>
          <w:b/>
          <w:bCs/>
          <w:szCs w:val="24"/>
        </w:rPr>
      </w:pPr>
      <w:r>
        <w:rPr>
          <w:rFonts w:cs="Calibri Light" w:ascii="Calibri Light" w:hAnsi="Calibri Light" w:asciiTheme="majorHAnsi" w:cstheme="majorHAnsi" w:hAnsiTheme="majorHAnsi"/>
          <w:b/>
          <w:bCs/>
          <w:szCs w:val="24"/>
        </w:rPr>
        <w:t>RESUMO DO MERCADO FINANCEIRO NO SEGUNDO SEMESTRE 2024</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O ano foi marcado por intensos debates sobre o direcionamento das políticas monetária e fiscal nas economias globais. A trajetória de desinflação observada ao longo do ano possibilitou que os bancos centrais das principais economias, como o Federal Reserve (EUA) e o Banco Central Europeu (BCE), adotassem posturas monetárias restritivas, embora com uma desaceleração no ritmo de elevação das taxas de juros. Apesar da desaceleração da inflação em diversas regiões, os índices inflacionários permaneceram acima das metas estabelecidas, o que manteve os investidores em uma postura cautelosa, atentos a possíveis ajustes nas estratégias monetárias. Em 2024, o Brasil vivenciou um cenário desafiador, com uma economia marcada por dificuldades fiscais, inflação persistente, altas taxas de juros e um contexto global turbulento. Para os investidores, o ano foi de volatilidade, com a busca por segurança em ativos de renda fixa. O aumento da Selic, as tensões fiscais e o cenário internacional complexo indicam que 2025 promete ser um ano ainda mais desafiador para os investimentos, exigindo uma abordagem cuidadosa e uma análise criteriosa das oportunidades e riscos no mercado financeiro.</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Na China, a recuperação econômica apresentou um desempenho irregular. O país encontrou dificuldades para manter uma taxa de crescimento em torno de 5%, com o cenário sendo ainda mais desafiado pela imposição de tarifas comerciais pelos Estados Unidos, o que potencialmente agravaria o ritmo de crescimento. Diante disso, o governo chinês implementou estímulos pontuais, especialmente em setores considerados mais vulneráveis, como o imobiliário. O PIB do terceiro trimestre de 2024 apresentou um crescimento de 4,6%, ligeiramente superior às estimativas iniciais de 4,5%. No entanto, o crescimento continuou sendo desigual ao longo do ano, com a produção industrial superando o consumo interno e ampliando os riscos de deflação, especialmente em meio à crise do setor imobiliário e ao crescente endividamento dos governos locais.</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Na Zona do Euro, persistem as preocupações com o fraco crescimento econômico, exacerbadas por riscos geopolíticos e pressões sobre o comércio internacional. Em sua decisão mais recente, o BCE reduziu a taxa de juros em 0,25%, passando de 3,25% para 3,00%, marcando o quarto corte consecutivo no ano, sinalizando um esforço contínuo para convergir a inflação para a meta de 2%. Além disso, a região atravessou turbulências políticas. Na Alemanha, um voto de desconfiança no Congresso resultou na dissolução do governo liderado pelo Chanceler Olaf Scholz, que estava no cargo desde a saída de Angela Merkel. Na França, o Parlamento também aprovou um voto de desconfiança que derrubou o primeiro-ministro Gabriel Attal, dissolvendo seu governo. Após um breve período de incerteza, o presidente Emmanuel Macron nomeou François Bayrou para o cargo de primeiro-ministro, o qual teria que enfrentar um Congresso extremamente dividido e sem uma maioria clara, além de lidar com questões como o crescimento da dívida pública, orçamento e baixo crescimento econômico.</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Nos Estados Unidos, os mercados reagiram positivamente à vitória de Donald Trump nas eleições presidenciais, o que impulsionou as principais bolsas globais, como a New York Stock Exchange (NYSE) e o Nasdaq, a encerrarem o ano com ganhos expressivos. O foco agora está nas diretrizes futuras da política econômica do governo eleito, cuja estratégia em áreas como tarifas, política fiscal, imigração e geopolítica será determinante tanto para a economia americana quanto para a economia global, sendo uma premissa chave para a avaliação dos diferentes cenários e riscos prospectivos. A economia americana se manteve aquecida, com a primeira estimativa do PIB do terceiro trimestre de 2024 indicando um crescimento anualizado de 2,8% em relação ao segundo trimestre. Esse crescimento foi parcialmente impulsionado pela variação de estoques, com contribuições positivas também vindas do consumo das famílias e do consumo e investimento do governo. O principal relatório sobre o mercado de trabalho (Payroll) mostrou a criação líquida de 227 mil empregos em novembro, superando as expectativas de mercado. No entanto, a taxa de desemprego aumentou ligeiramente de 4,1% para 4,2% de outubro para novembro.</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Ainda sobre os EUA, entrando especificamente no campo da política monetária, o Comitê Federal de Mercado Aberto (FOMC) manteve os juros inalterados durante boa parte do ano, mas iniciou um ciclo de flexibilização monetária em setembro, com um corte de 0,50%, seguido por cortes adicionais de 0,25% nas reuniões de novembro e dezembro, reduzindo a taxa para o intervalo de 4,25% a 4,50% ao ano. Em seu comunicado, o comitê adotou um tom cauteloso, reconhecendo que o novo governo herdará um ambiente macroeconômico com pressões inflacionárias ainda não totalmente controladas, além da elevada probabilidade de que o presidente eleito cumprirá suas promessas de campanha.</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No Brasil, o ano foi marcado por significativa turbulência política e econômica, com intensos embates entre o governo, o Congresso e os agentes do mercado financeiro. A escalada da taxa de câmbio fechou o ano em torno de R$ 6,17/US$, representando uma valorização de 27% do dólar em relação ao real, o pior desempenho desde 2020. Juntamente com o expressivo deslocamento da curva de juros para cima, esses movimentos refletem uma crescente preocupação com a trajetória da economia brasileira. Esse cenário foi, em parte, impulsionado pelo fortalecimento do dólar no cenário externo, com os Estados Unidos se mantendo como um grande polo de atração de capitais devido a taxas de juros relativamente elevadas e uma economia resiliente. No Brasil, o movimento de valorização do dólar foi amplificado por questões fiscais, especialmente após o governo apresentar um pacote de medidas para a contenção de gastos públicos da ordem de R$ 30 bilhões no primeiro ano e R$ 40 bilhões no segundo ano, além de propor a reforma tributária, com destaque para o aumento da faixa de isenção para R$ 5.000,00 e a adoção de um imposto mínimo para as altas rendas. Embora as medidas de contenção de gastos tenham sido bem recebidas em termos de expectativas de economia fiscal, a reação do mercado foi negativa, com a taxa de câmbio se depreciando e as taxas de juros mais longas subindo. Mesmo com a aprovação das medidas pelo Congresso, o mercado permaneceu pessimista devido à aparente falta de apetite para enfrentar diretamente a trajetória insustentável das contas públicas.</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Segundo o Instituto Brasileiro de Geografia e Estatística (IBGE), o PIB brasileiro cresceu 0,9% no terceiro trimestre de 2024 em comparação com o período imediatamente anterior, impulsionado, entre outros fatores, pelo dinamismo do mercado de trabalho, com aumentos tanto na população ocupada quanto no rendimento médio real. O setor de serviços, especialmente nas áreas de Informação e Comunicação, e Atividades financeiras, apresentou desempenho positivo, contribuindo significativamente para esse crescimento. No entanto, a agropecuária registrou uma pequena queda de 0,9%, devido à perda de produtividade e quedas na produção de produtos como cana, milho e laranja.</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Do ponto de vista da demanda, o consumo das famílias continuou crescendo, impulsionado pela melhora no mercado de trabalho e pelos programas de auxílio governamentais. O aumento nos investimentos, especialmente em bens de capital, software e construção, também foi um fator positivo. As últimas projeções de crescimento do PIB para 2024 indicam uma alta de 3,49%, conforme os dados mais recentes do Relatório Focus. A Inflação oficial do país fechou 2024 em 4,83%, puxada por alimentação, educação e saúde. Os alimentos têm sido, inclusive, o principal motivo do mau humor dos consumidores.</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Em relação à política monetária, o Comitê de Política Monetária (COPOM) iniciou o ano com uma redução gradual da taxa Selic, que passou de 11,75% para 10,50% nas três primeiras reuniões do ano. No entanto, devido ao agravamento das incertezas externas e problemas de oferta relacionados a eventos como as enchentes no Rio Grande do Sul, o COPOM retornou com o ciclo de aperto monetário em setembro, elevando a taxa Selic em 0,25%. Com o aumento das preocupações fiscais no último trimestre, o comitê promoveu duas elevações adicionais de 1%, levando a taxa para 12,25%. Esse cenário gerou expectativas de novas elevações em 2025, com a taxa projetada para 14,75%.</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 xml:space="preserve">No mercado de renda fixa, o desempenho foi marcado por incertezas e aversão ao risco, que se intensificaram nos últimos meses do ano. Embora as expectativas iniciais de juros baixos não se concretizassem devido à deterioração das condições fiscais, o plano de redução de gastos do governo gerou reações negativas entre os investidores, consolidando a curva de juros em patamares elevados. Nesse contexto, os títulos de curto prazo se destacaram frente aos ativos de maior </w:t>
      </w:r>
      <w:r>
        <w:rPr>
          <w:rFonts w:cs="Calibri Light" w:ascii="Calibri Light" w:hAnsi="Calibri Light" w:asciiTheme="majorHAnsi" w:cstheme="majorHAnsi" w:hAnsiTheme="majorHAnsi"/>
          <w:i/>
          <w:iCs/>
          <w:szCs w:val="24"/>
        </w:rPr>
        <w:t>duration</w:t>
      </w:r>
      <w:r>
        <w:rPr>
          <w:rFonts w:cs="Calibri Light" w:ascii="Calibri Light" w:hAnsi="Calibri Light" w:asciiTheme="majorHAnsi" w:cstheme="majorHAnsi" w:hAnsiTheme="majorHAnsi"/>
          <w:szCs w:val="24"/>
        </w:rPr>
        <w:t>. O índice IMA-Geral, que expressa a rentabilidade dos títulos marcados a mercado, registrou uma variação positiva de 5,10% ao longo do ano.</w:t>
      </w:r>
    </w:p>
    <w:p>
      <w:pPr>
        <w:pStyle w:val="Normal"/>
        <w:spacing w:before="0" w:after="0"/>
        <w:ind w:firstLine="851"/>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Na renda variável, o ano de 2024 apresentou um desempenho negativo, com o índice Ibovespa registrando uma queda de 10,36%, o pior desempenho desde 2021. O índice fechou no vermelho em 8 dos 12 meses do ano, com a incerteza do mercado em relação à sustentabilidade da dívida pública, o ciclo de elevação da Selic e fatores externos, como o agravamento das tensões geopolíticas e a lenta recuperação da economia chinesa, impactando negativamente os resultados. Entre os poucos ativos que tiveram desempenho positivo, destacam-se Embraer e Marfrig, que subiram mais de 100% devido à desvalorização cambial.</w:t>
      </w:r>
    </w:p>
    <w:p>
      <w:pPr>
        <w:pStyle w:val="Normal"/>
        <w:spacing w:before="0" w:after="0"/>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szCs w:val="24"/>
        </w:rPr>
        <w:t>*</w:t>
      </w:r>
      <w:r>
        <w:rPr>
          <w:rFonts w:cs="Calibri Light" w:ascii="Calibri Light" w:hAnsi="Calibri Light" w:asciiTheme="majorHAnsi" w:cstheme="majorHAnsi" w:hAnsiTheme="majorHAnsi"/>
          <w:i/>
          <w:iCs/>
          <w:szCs w:val="24"/>
        </w:rPr>
        <w:t>Rentabilidades</w:t>
      </w:r>
    </w:p>
    <w:p>
      <w:pPr>
        <w:pStyle w:val="Normal"/>
        <w:spacing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before="0" w:after="0"/>
        <w:jc w:val="center"/>
        <w:rPr>
          <w:rFonts w:ascii="Calibri Light" w:hAnsi="Calibri Light" w:cs="Calibri Light" w:asciiTheme="majorHAnsi" w:cstheme="majorHAnsi" w:hAnsiTheme="majorHAnsi"/>
          <w:szCs w:val="24"/>
        </w:rPr>
      </w:pPr>
      <w:r>
        <w:rPr/>
        <w:drawing>
          <wp:inline distT="0" distB="0" distL="0" distR="0">
            <wp:extent cx="6188710" cy="2338070"/>
            <wp:effectExtent l="0" t="0" r="0" b="0"/>
            <wp:docPr id="7"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 descr=""/>
                    <pic:cNvPicPr>
                      <a:picLocks noChangeAspect="1" noChangeArrowheads="1"/>
                    </pic:cNvPicPr>
                  </pic:nvPicPr>
                  <pic:blipFill>
                    <a:blip r:embed="rId9"/>
                    <a:stretch>
                      <a:fillRect/>
                    </a:stretch>
                  </pic:blipFill>
                  <pic:spPr bwMode="auto">
                    <a:xfrm>
                      <a:off x="0" y="0"/>
                      <a:ext cx="6188710" cy="2338070"/>
                    </a:xfrm>
                    <a:prstGeom prst="rect">
                      <a:avLst/>
                    </a:prstGeom>
                  </pic:spPr>
                </pic:pic>
              </a:graphicData>
            </a:graphic>
          </wp:inline>
        </w:drawing>
      </w:r>
    </w:p>
    <w:p>
      <w:pPr>
        <w:pStyle w:val="Normal"/>
        <w:spacing w:before="0" w:after="0"/>
        <w:jc w:val="center"/>
        <w:rPr>
          <w:rFonts w:ascii="Calibri Light" w:hAnsi="Calibri Light" w:cs="Calibri Light" w:asciiTheme="majorHAnsi" w:cstheme="majorHAnsi" w:hAnsiTheme="majorHAnsi"/>
          <w:szCs w:val="24"/>
        </w:rPr>
      </w:pPr>
      <w:r>
        <w:rPr/>
        <w:drawing>
          <wp:inline distT="0" distB="0" distL="0" distR="0">
            <wp:extent cx="6188710" cy="1521460"/>
            <wp:effectExtent l="0" t="0" r="0" b="0"/>
            <wp:docPr id="8"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4" descr=""/>
                    <pic:cNvPicPr>
                      <a:picLocks noChangeAspect="1" noChangeArrowheads="1"/>
                    </pic:cNvPicPr>
                  </pic:nvPicPr>
                  <pic:blipFill>
                    <a:blip r:embed="rId10"/>
                    <a:stretch>
                      <a:fillRect/>
                    </a:stretch>
                  </pic:blipFill>
                  <pic:spPr bwMode="auto">
                    <a:xfrm>
                      <a:off x="0" y="0"/>
                      <a:ext cx="6188710" cy="1521460"/>
                    </a:xfrm>
                    <a:prstGeom prst="rect">
                      <a:avLst/>
                    </a:prstGeom>
                  </pic:spPr>
                </pic:pic>
              </a:graphicData>
            </a:graphic>
          </wp:inline>
        </w:drawing>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Imagem  7- Fonte: REFERÊNCIA</w:t>
      </w:r>
    </w:p>
    <w:p>
      <w:pPr>
        <w:pStyle w:val="CorpodoTexto"/>
        <w:ind w:hanging="0"/>
        <w:rPr>
          <w:rFonts w:ascii="Calibri Light" w:hAnsi="Calibri Light" w:cs="Calibri Light" w:asciiTheme="majorHAnsi" w:cstheme="majorHAnsi" w:hAnsiTheme="majorHAnsi"/>
        </w:rPr>
      </w:pPr>
      <w:r>
        <w:rPr>
          <w:rFonts w:cs="Calibri Light" w:cstheme="majorHAnsi" w:ascii="Calibri Light" w:hAnsi="Calibri Light"/>
        </w:rPr>
      </w:r>
    </w:p>
    <w:p>
      <w:pPr>
        <w:pStyle w:val="Ttulo1"/>
        <w:spacing w:before="0" w:after="160"/>
        <w:rPr>
          <w:rFonts w:ascii="Calibri Light" w:hAnsi="Calibri Light" w:cs="Calibri Light" w:asciiTheme="majorHAnsi" w:cstheme="majorHAnsi" w:hAnsiTheme="majorHAnsi"/>
          <w:szCs w:val="24"/>
        </w:rPr>
      </w:pPr>
      <w:bookmarkStart w:id="4" w:name="_Toc123804061"/>
      <w:r>
        <w:rPr>
          <w:rFonts w:cs="Calibri Light" w:ascii="Calibri Light" w:hAnsi="Calibri Light" w:asciiTheme="majorHAnsi" w:cstheme="majorHAnsi" w:hAnsiTheme="majorHAnsi"/>
          <w:szCs w:val="24"/>
        </w:rPr>
        <w:t>CONCLUSÃO E RECOMENDAÇÕES</w:t>
      </w:r>
      <w:bookmarkEnd w:id="4"/>
      <w:r>
        <w:rPr>
          <w:rFonts w:cs="Calibri Light" w:ascii="Calibri Light" w:hAnsi="Calibri Light" w:asciiTheme="majorHAnsi" w:cstheme="majorHAnsi" w:hAnsiTheme="majorHAnsi"/>
          <w:szCs w:val="24"/>
        </w:rPr>
        <w:t xml:space="preserve"> </w:t>
      </w:r>
    </w:p>
    <w:p>
      <w:pPr>
        <w:pStyle w:val="CorpodoTexto"/>
        <w:rPr>
          <w:rFonts w:ascii="Calibri Light" w:hAnsi="Calibri Light" w:cs="Calibri Light" w:asciiTheme="majorHAnsi" w:cstheme="majorHAnsi" w:hAnsiTheme="majorHAnsi"/>
        </w:rPr>
      </w:pPr>
      <w:r>
        <w:rPr>
          <w:rFonts w:cs="Calibri Light" w:cstheme="majorHAnsi" w:ascii="Calibri Light" w:hAnsi="Calibri Light"/>
        </w:rPr>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 partir das considerações apresentadas, entende-se que a Gestão do RPPS, bem como os membros do Comitê de Investimentos e Conselhos, trabalhou em conjunto com a Consultoria para que a meta fosse atingida.</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Contudo, diante do risco fiscal do país e da calamidade do Rio Grande do Sul, fez com que o RPPS não atingisse a meta do exercício.</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Válido destacar que da meta determinada, o </w:t>
      </w:r>
      <w:r>
        <w:rPr>
          <w:rFonts w:cs="Calibri Light" w:ascii="Calibri Light" w:hAnsi="Calibri Light" w:asciiTheme="majorHAnsi" w:cstheme="majorHAnsi" w:hAnsiTheme="majorHAnsi"/>
          <w:b/>
          <w:bCs/>
        </w:rPr>
        <w:t>ALEGRETEPREV atingiu 96,38% do seu objetivo</w:t>
      </w:r>
      <w:r>
        <w:rPr>
          <w:rFonts w:cs="Calibri Light" w:ascii="Calibri Light" w:hAnsi="Calibri Light" w:asciiTheme="majorHAnsi" w:cstheme="majorHAnsi" w:hAnsiTheme="majorHAnsi"/>
        </w:rPr>
        <w:t xml:space="preserve">, ou seja, </w:t>
      </w:r>
      <w:r>
        <w:rPr>
          <w:rFonts w:cs="Calibri Light" w:ascii="Calibri Light" w:hAnsi="Calibri Light" w:asciiTheme="majorHAnsi" w:cstheme="majorHAnsi" w:hAnsiTheme="majorHAnsi"/>
          <w:b/>
          <w:bCs/>
          <w:u w:val="single"/>
        </w:rPr>
        <w:t xml:space="preserve">um ótimo resultado, uma vez que </w:t>
      </w:r>
      <w:r>
        <w:rPr>
          <w:rFonts w:cs="Calibri Light" w:ascii="Calibri Light" w:hAnsi="Calibri Light" w:asciiTheme="majorHAnsi" w:cstheme="majorHAnsi" w:hAnsiTheme="majorHAnsi"/>
        </w:rPr>
        <w:t xml:space="preserve"> diante do “desequilíbrio” das contas públicas do Governo Federal, do dólar acima de seis reais e um novo ciclo de aumento da SELIC fez com que os títulos públicos federais não respondessem da forma planejada, bem como a economia global gerou grandes incertezas. </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Assinaturas:</w:t>
      </w:r>
    </w:p>
    <w:p>
      <w:pPr>
        <w:pStyle w:val="CorpodoTexto"/>
        <w:ind w:hanging="0"/>
        <w:rPr>
          <w:rFonts w:ascii="Calibri Light" w:hAnsi="Calibri Light" w:cs="Calibri Light" w:asciiTheme="majorHAnsi" w:cstheme="majorHAnsi" w:hAnsiTheme="majorHAnsi"/>
        </w:rPr>
      </w:pPr>
      <w:r>
        <w:rPr>
          <w:rFonts w:cs="Calibri Light" w:cstheme="majorHAnsi" w:ascii="Calibri Light" w:hAnsi="Calibri Light"/>
        </w:rPr>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PRESIDENTE </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GESTOR</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MEMBROS COMITÊ</w:t>
      </w:r>
    </w:p>
    <w:p>
      <w:pPr>
        <w:pStyle w:val="CorpodoTexto"/>
        <w:ind w:hanging="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MEMBROS CONSELHOS</w:t>
      </w:r>
    </w:p>
    <w:p>
      <w:pPr>
        <w:pStyle w:val="Normal"/>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Ttulo1"/>
        <w:ind w:left="2124" w:firstLine="708"/>
        <w:jc w:val="both"/>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1"/>
        <w:ind w:left="2124" w:firstLine="708"/>
        <w:jc w:val="both"/>
        <w:rPr>
          <w:rFonts w:ascii="Calibri Light" w:hAnsi="Calibri Light" w:cs="Calibri Light" w:asciiTheme="majorHAnsi" w:cstheme="majorHAnsi" w:hAnsiTheme="majorHAnsi"/>
          <w:szCs w:val="24"/>
        </w:rPr>
      </w:pPr>
      <w:r>
        <w:rPr/>
      </w:r>
    </w:p>
    <w:p>
      <w:pPr>
        <w:pStyle w:val="Ttulo1"/>
        <w:ind w:hanging="0"/>
        <w:jc w:val="both"/>
        <w:rPr>
          <w:rFonts w:ascii="Calibri Light" w:hAnsi="Calibri Light" w:cs="Calibri Light" w:asciiTheme="majorHAnsi" w:cstheme="majorHAnsi" w:hAnsiTheme="majorHAnsi"/>
          <w:szCs w:val="24"/>
        </w:rPr>
      </w:pPr>
      <w:r>
        <w:rPr/>
      </w:r>
    </w:p>
    <w:p>
      <w:pPr>
        <w:pStyle w:val="Ttulo1"/>
        <w:ind w:hanging="0"/>
        <w:jc w:val="center"/>
        <w:rPr/>
      </w:pPr>
      <w:bookmarkStart w:id="5" w:name="_Toc123804062"/>
      <w:bookmarkEnd w:id="5"/>
      <w:r>
        <w:rPr>
          <w:rFonts w:cs="Calibri Light" w:ascii="Calibri Light" w:hAnsi="Calibri Light" w:asciiTheme="majorHAnsi" w:cstheme="majorHAnsi" w:hAnsiTheme="majorHAnsi"/>
          <w:szCs w:val="24"/>
        </w:rPr>
        <w:t>REFERÊNCIAS</w:t>
      </w:r>
    </w:p>
    <w:p>
      <w:pPr>
        <w:pStyle w:val="Normal"/>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lineRule="auto" w:line="240"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lineRule="auto" w:line="240" w:before="0" w:after="0"/>
        <w:rPr/>
      </w:pPr>
      <w:r>
        <w:rPr>
          <w:rFonts w:cs="Calibri Light" w:ascii="Calibri Light" w:hAnsi="Calibri Light" w:asciiTheme="majorHAnsi" w:cstheme="majorHAnsi" w:hAnsiTheme="majorHAnsi"/>
          <w:szCs w:val="24"/>
        </w:rPr>
        <w:t xml:space="preserve">PORTAL DA PREVIDÊNCIA SOCIAL. Sistema de Informação dos Regimes Públicos de Previdência Social (CADPREV). Disponível em: </w:t>
      </w:r>
      <w:hyperlink r:id="rId11">
        <w:r>
          <w:rPr>
            <w:rStyle w:val="LinkdaInternet"/>
            <w:rFonts w:cs="Calibri Light" w:ascii="Calibri Light" w:hAnsi="Calibri Light" w:asciiTheme="majorHAnsi" w:cstheme="majorHAnsi" w:hAnsiTheme="majorHAnsi"/>
            <w:szCs w:val="24"/>
          </w:rPr>
          <w:t>http://cadprev.previdencia.gov.br/</w:t>
        </w:r>
      </w:hyperlink>
    </w:p>
    <w:p>
      <w:pPr>
        <w:pStyle w:val="Normal"/>
        <w:spacing w:lineRule="auto" w:line="240"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lineRule="auto" w:line="240" w:before="0" w:after="0"/>
        <w:rPr>
          <w:rFonts w:ascii="Calibri Light" w:hAnsi="Calibri Light" w:cs="Calibri Light" w:asciiTheme="majorHAnsi" w:cstheme="majorHAnsi" w:hAnsiTheme="majorHAnsi"/>
          <w:szCs w:val="24"/>
        </w:rPr>
      </w:pPr>
      <w:r>
        <w:rPr>
          <w:rFonts w:cs="Calibri Light" w:cstheme="majorHAnsi" w:ascii="Calibri Light" w:hAnsi="Calibri Light"/>
          <w:szCs w:val="24"/>
        </w:rPr>
      </w:r>
    </w:p>
    <w:p>
      <w:pPr>
        <w:pStyle w:val="Normal"/>
        <w:spacing w:before="0" w:after="160"/>
        <w:rPr/>
      </w:pPr>
      <w:r>
        <w:rPr/>
      </w:r>
    </w:p>
    <w:p>
      <w:pPr>
        <w:pStyle w:val="Normal"/>
        <w:spacing w:before="0" w:after="160"/>
        <w:rPr/>
      </w:pPr>
      <w:r>
        <w:rPr/>
      </w:r>
    </w:p>
    <w:p>
      <w:pPr>
        <w:pStyle w:val="Normal"/>
        <w:spacing w:before="0" w:after="160"/>
        <w:rPr/>
      </w:pPr>
      <w:r>
        <w:rPr/>
      </w:r>
    </w:p>
    <w:p>
      <w:pPr>
        <w:pStyle w:val="Normal"/>
        <w:spacing w:before="0" w:after="160"/>
        <w:jc w:val="center"/>
        <w:rPr/>
      </w:pPr>
      <w:r>
        <w:rPr/>
      </w:r>
    </w:p>
    <w:sectPr>
      <w:headerReference w:type="default" r:id="rId12"/>
      <w:footerReference w:type="default" r:id="rId13"/>
      <w:type w:val="nextPage"/>
      <w:pgSz w:w="11906" w:h="16838"/>
      <w:pgMar w:left="1701" w:right="1134" w:header="1701" w:top="3132"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5009814"/>
    </w:sdtPr>
    <w:sdtContent>
      <w:p>
        <w:pPr>
          <w:pStyle w:val="Rodap"/>
          <w:jc w:val="right"/>
          <w:rPr/>
        </w:pPr>
        <w:r>
          <w:rPr/>
          <w:fldChar w:fldCharType="begin"/>
        </w:r>
        <w:r>
          <w:instrText> PAGE </w:instrText>
        </w:r>
        <w:r>
          <w:fldChar w:fldCharType="separate"/>
        </w:r>
        <w:r>
          <w:t>15</w:t>
        </w:r>
        <w: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both"/>
      <w:rPr/>
    </w:pPr>
    <w:r>
      <w:drawing>
        <wp:anchor behindDoc="1" distT="0" distB="0" distL="114935" distR="114935" simplePos="0" locked="0" layoutInCell="1" allowOverlap="1" relativeHeight="22">
          <wp:simplePos x="0" y="0"/>
          <wp:positionH relativeFrom="column">
            <wp:posOffset>-619125</wp:posOffset>
          </wp:positionH>
          <wp:positionV relativeFrom="paragraph">
            <wp:posOffset>-731520</wp:posOffset>
          </wp:positionV>
          <wp:extent cx="1571625" cy="631190"/>
          <wp:effectExtent l="0" t="0" r="0" b="0"/>
          <wp:wrapNone/>
          <wp:docPr id="9"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4" descr=""/>
                  <pic:cNvPicPr>
                    <a:picLocks noChangeAspect="1" noChangeArrowheads="1"/>
                  </pic:cNvPicPr>
                </pic:nvPicPr>
                <pic:blipFill>
                  <a:blip r:embed="rId1"/>
                  <a:stretch>
                    <a:fillRect/>
                  </a:stretch>
                </pic:blipFill>
                <pic:spPr bwMode="auto">
                  <a:xfrm>
                    <a:off x="0" y="0"/>
                    <a:ext cx="1571625" cy="631190"/>
                  </a:xfrm>
                  <a:prstGeom prst="rect">
                    <a:avLst/>
                  </a:prstGeom>
                </pic:spPr>
              </pic:pic>
            </a:graphicData>
          </a:graphic>
        </wp:anchor>
      </w:drawing>
    </w:r>
    <w:r>
      <w:rPr>
        <w:rFonts w:eastAsia="Arial" w:cs="Arial"/>
        <w:b/>
        <w:bCs/>
        <w:sz w:val="24"/>
        <w:szCs w:val="24"/>
      </w:rPr>
      <w:t xml:space="preserve"> </w:t>
    </w:r>
    <w:r>
      <w:rPr>
        <w:rFonts w:eastAsia="Arial" w:cs="Arial"/>
        <w:b/>
        <w:bCs/>
        <w:sz w:val="24"/>
        <w:szCs w:val="24"/>
      </w:rPr>
      <w:t xml:space="preserve">                                                        </w:t>
    </w:r>
    <w:r>
      <w:rPr>
        <w:rFonts w:eastAsia="Arial" w:cs="Arial"/>
        <w:b/>
        <w:bCs/>
        <w:sz w:val="24"/>
        <w:szCs w:val="24"/>
      </w:rPr>
      <w:t xml:space="preserve">MUNICÍPIO DE ALEGRETE </w:t>
    </w:r>
  </w:p>
  <w:p>
    <w:pPr>
      <w:pStyle w:val="Cabealho"/>
      <w:spacing w:lineRule="auto" w:line="240"/>
      <w:ind w:left="0" w:right="0" w:firstLine="2160"/>
      <w:jc w:val="both"/>
      <w:rPr/>
    </w:pPr>
    <w:r>
      <w:rPr>
        <w:rFonts w:cs="Arial"/>
        <w:b/>
        <w:bCs/>
        <w:sz w:val="24"/>
        <w:szCs w:val="24"/>
      </w:rPr>
      <w:tab/>
      <w:t>FUNDO DE APOSENTADORIA E PENSÃO</w:t>
    </w:r>
  </w:p>
  <w:p>
    <w:pPr>
      <w:pStyle w:val="Cabealho"/>
      <w:spacing w:lineRule="auto" w:line="240" w:before="0" w:after="160"/>
      <w:ind w:left="0" w:right="0" w:firstLine="2160"/>
      <w:rPr/>
    </w:pPr>
    <w:r>
      <w:rPr>
        <w:rFonts w:eastAsia="Arial" w:cs="Arial"/>
        <w:b/>
        <w:bCs/>
        <w:sz w:val="24"/>
        <w:szCs w:val="24"/>
      </w:rPr>
      <w:t xml:space="preserve">              </w:t>
    </w:r>
    <w:r>
      <w:rPr>
        <w:rFonts w:cs="Arial"/>
        <w:b/>
        <w:bCs/>
        <w:sz w:val="24"/>
        <w:szCs w:val="24"/>
      </w:rPr>
      <w:t>LEI COMPLEMENTAR  017/2005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54" w:hanging="360"/>
      </w:pPr>
      <w:rPr>
        <w:rFonts w:ascii="Symbol" w:hAnsi="Symbol" w:cs="Symbol" w:hint="default"/>
        <w:rFonts w:cs="Symbol"/>
      </w:rPr>
    </w:lvl>
    <w:lvl w:ilvl="1">
      <w:start w:val="1"/>
      <w:numFmt w:val="bullet"/>
      <w:lvlText w:val="o"/>
      <w:lvlJc w:val="left"/>
      <w:pPr>
        <w:ind w:left="2574" w:hanging="360"/>
      </w:pPr>
      <w:rPr>
        <w:rFonts w:ascii="Courier New" w:hAnsi="Courier New" w:cs="Courier New" w:hint="default"/>
        <w:rFonts w:cs="Courier New"/>
      </w:rPr>
    </w:lvl>
    <w:lvl w:ilvl="2">
      <w:start w:val="1"/>
      <w:numFmt w:val="bullet"/>
      <w:lvlText w:val=""/>
      <w:lvlJc w:val="left"/>
      <w:pPr>
        <w:ind w:left="3294" w:hanging="360"/>
      </w:pPr>
      <w:rPr>
        <w:rFonts w:ascii="Wingdings" w:hAnsi="Wingdings" w:cs="Wingdings" w:hint="default"/>
        <w:rFonts w:cs="Wingdings"/>
      </w:rPr>
    </w:lvl>
    <w:lvl w:ilvl="3">
      <w:start w:val="1"/>
      <w:numFmt w:val="bullet"/>
      <w:lvlText w:val=""/>
      <w:lvlJc w:val="left"/>
      <w:pPr>
        <w:ind w:left="4014" w:hanging="360"/>
      </w:pPr>
      <w:rPr>
        <w:rFonts w:ascii="Symbol" w:hAnsi="Symbol" w:cs="Symbol" w:hint="default"/>
        <w:rFonts w:cs="Symbol"/>
      </w:rPr>
    </w:lvl>
    <w:lvl w:ilvl="4">
      <w:start w:val="1"/>
      <w:numFmt w:val="bullet"/>
      <w:lvlText w:val="o"/>
      <w:lvlJc w:val="left"/>
      <w:pPr>
        <w:ind w:left="4734" w:hanging="360"/>
      </w:pPr>
      <w:rPr>
        <w:rFonts w:ascii="Courier New" w:hAnsi="Courier New" w:cs="Courier New" w:hint="default"/>
        <w:rFonts w:cs="Courier New"/>
      </w:rPr>
    </w:lvl>
    <w:lvl w:ilvl="5">
      <w:start w:val="1"/>
      <w:numFmt w:val="bullet"/>
      <w:lvlText w:val=""/>
      <w:lvlJc w:val="left"/>
      <w:pPr>
        <w:ind w:left="5454" w:hanging="360"/>
      </w:pPr>
      <w:rPr>
        <w:rFonts w:ascii="Wingdings" w:hAnsi="Wingdings" w:cs="Wingdings" w:hint="default"/>
        <w:rFonts w:cs="Wingdings"/>
      </w:rPr>
    </w:lvl>
    <w:lvl w:ilvl="6">
      <w:start w:val="1"/>
      <w:numFmt w:val="bullet"/>
      <w:lvlText w:val=""/>
      <w:lvlJc w:val="left"/>
      <w:pPr>
        <w:ind w:left="6174" w:hanging="360"/>
      </w:pPr>
      <w:rPr>
        <w:rFonts w:ascii="Symbol" w:hAnsi="Symbol" w:cs="Symbol" w:hint="default"/>
        <w:rFonts w:cs="Symbol"/>
      </w:rPr>
    </w:lvl>
    <w:lvl w:ilvl="7">
      <w:start w:val="1"/>
      <w:numFmt w:val="bullet"/>
      <w:lvlText w:val="o"/>
      <w:lvlJc w:val="left"/>
      <w:pPr>
        <w:ind w:left="6894" w:hanging="360"/>
      </w:pPr>
      <w:rPr>
        <w:rFonts w:ascii="Courier New" w:hAnsi="Courier New" w:cs="Courier New" w:hint="default"/>
        <w:rFonts w:cs="Courier New"/>
      </w:rPr>
    </w:lvl>
    <w:lvl w:ilvl="8">
      <w:start w:val="1"/>
      <w:numFmt w:val="bullet"/>
      <w:lvlText w:val=""/>
      <w:lvlJc w:val="left"/>
      <w:pPr>
        <w:ind w:left="761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d2e"/>
    <w:pPr>
      <w:widowControl/>
      <w:bidi w:val="0"/>
      <w:spacing w:lineRule="auto" w:line="360" w:before="0" w:after="160"/>
      <w:jc w:val="both"/>
    </w:pPr>
    <w:rPr>
      <w:rFonts w:ascii="Times New Roman" w:hAnsi="Times New Roman" w:eastAsia="Calibri" w:cs=""/>
      <w:color w:val="00000A"/>
      <w:sz w:val="24"/>
      <w:szCs w:val="22"/>
      <w:lang w:val="pt-BR" w:eastAsia="en-US" w:bidi="ar-SA"/>
      <w14:ligatures w14:val="none"/>
    </w:rPr>
  </w:style>
  <w:style w:type="paragraph" w:styleId="Ttulo1">
    <w:name w:val="Heading 1"/>
    <w:basedOn w:val="Normal"/>
    <w:next w:val="Normal"/>
    <w:link w:val="Ttulo1Char"/>
    <w:uiPriority w:val="9"/>
    <w:qFormat/>
    <w:rsid w:val="00255d2e"/>
    <w:pPr>
      <w:keepNext/>
      <w:keepLines/>
      <w:spacing w:before="240" w:after="0"/>
      <w:jc w:val="center"/>
      <w:outlineLvl w:val="0"/>
    </w:pPr>
    <w:rPr>
      <w:rFonts w:eastAsia="" w:cs="" w:cstheme="majorBidi" w:eastAsiaTheme="majorEastAsia"/>
      <w:b/>
      <w:szCs w:val="32"/>
    </w:rPr>
  </w:style>
  <w:style w:type="paragraph" w:styleId="Ttulo2">
    <w:name w:val="Heading 2"/>
    <w:basedOn w:val="Normal"/>
    <w:next w:val="Normal"/>
    <w:link w:val="Ttulo2Char"/>
    <w:uiPriority w:val="9"/>
    <w:unhideWhenUsed/>
    <w:qFormat/>
    <w:rsid w:val="00255d2e"/>
    <w:pPr>
      <w:keepNext/>
      <w:keepLines/>
      <w:spacing w:before="40" w:after="0"/>
      <w:jc w:val="center"/>
      <w:outlineLvl w:val="1"/>
    </w:pPr>
    <w:rPr>
      <w:rFonts w:eastAsia="" w:cs="" w:cstheme="majorBidi" w:eastAsiaTheme="majorEastAsia"/>
      <w:b/>
      <w:szCs w:val="26"/>
    </w:rPr>
  </w:style>
  <w:style w:type="paragraph" w:styleId="Ttulo3">
    <w:name w:val="Heading 3"/>
    <w:basedOn w:val="Normal"/>
    <w:next w:val="Normal"/>
    <w:link w:val="Ttulo3Char"/>
    <w:uiPriority w:val="9"/>
    <w:unhideWhenUsed/>
    <w:qFormat/>
    <w:rsid w:val="00255d2e"/>
    <w:pPr>
      <w:keepNext/>
      <w:keepLines/>
      <w:spacing w:before="40" w:after="0"/>
      <w:outlineLvl w:val="2"/>
    </w:pPr>
    <w:rPr>
      <w:rFonts w:eastAsia="" w:cs="" w:cstheme="majorBidi" w:eastAsiaTheme="majorEastAsia"/>
      <w:b/>
      <w:szCs w:val="24"/>
    </w:rPr>
  </w:style>
  <w:style w:type="character" w:styleId="DefaultParagraphFont" w:default="1">
    <w:name w:val="Default Paragraph Font"/>
    <w:uiPriority w:val="1"/>
    <w:unhideWhenUsed/>
    <w:qFormat/>
    <w:rPr/>
  </w:style>
  <w:style w:type="character" w:styleId="Ttulo1Char" w:customStyle="1">
    <w:name w:val="Título 1 Char"/>
    <w:basedOn w:val="DefaultParagraphFont"/>
    <w:link w:val="Ttulo1"/>
    <w:uiPriority w:val="9"/>
    <w:qFormat/>
    <w:rsid w:val="00255d2e"/>
    <w:rPr>
      <w:rFonts w:ascii="Times New Roman" w:hAnsi="Times New Roman" w:eastAsia="" w:cs="" w:cstheme="majorBidi" w:eastAsiaTheme="majorEastAsia"/>
      <w:b/>
      <w:sz w:val="24"/>
      <w:szCs w:val="32"/>
      <w14:ligatures w14:val="none"/>
    </w:rPr>
  </w:style>
  <w:style w:type="character" w:styleId="Ttulo2Char" w:customStyle="1">
    <w:name w:val="Título 2 Char"/>
    <w:basedOn w:val="DefaultParagraphFont"/>
    <w:link w:val="Ttulo2"/>
    <w:uiPriority w:val="9"/>
    <w:qFormat/>
    <w:rsid w:val="00255d2e"/>
    <w:rPr>
      <w:rFonts w:ascii="Times New Roman" w:hAnsi="Times New Roman" w:eastAsia="" w:cs="" w:cstheme="majorBidi" w:eastAsiaTheme="majorEastAsia"/>
      <w:b/>
      <w:sz w:val="24"/>
      <w:szCs w:val="26"/>
      <w14:ligatures w14:val="none"/>
    </w:rPr>
  </w:style>
  <w:style w:type="character" w:styleId="Ttulo3Char" w:customStyle="1">
    <w:name w:val="Título 3 Char"/>
    <w:basedOn w:val="DefaultParagraphFont"/>
    <w:link w:val="Ttulo3"/>
    <w:uiPriority w:val="9"/>
    <w:qFormat/>
    <w:rsid w:val="00255d2e"/>
    <w:rPr>
      <w:rFonts w:ascii="Times New Roman" w:hAnsi="Times New Roman" w:eastAsia="" w:cs="" w:cstheme="majorBidi" w:eastAsiaTheme="majorEastAsia"/>
      <w:b/>
      <w:sz w:val="24"/>
      <w:szCs w:val="24"/>
      <w14:ligatures w14:val="none"/>
    </w:rPr>
  </w:style>
  <w:style w:type="character" w:styleId="RodapChar" w:customStyle="1">
    <w:name w:val="Rodapé Char"/>
    <w:basedOn w:val="DefaultParagraphFont"/>
    <w:link w:val="Rodap"/>
    <w:uiPriority w:val="99"/>
    <w:qFormat/>
    <w:rsid w:val="00255d2e"/>
    <w:rPr>
      <w:rFonts w:ascii="Times New Roman" w:hAnsi="Times New Roman"/>
      <w:sz w:val="24"/>
      <w14:ligatures w14:val="none"/>
    </w:rPr>
  </w:style>
  <w:style w:type="character" w:styleId="TtuloChar" w:customStyle="1">
    <w:name w:val="Título Char"/>
    <w:basedOn w:val="DefaultParagraphFont"/>
    <w:link w:val="Ttulo"/>
    <w:uiPriority w:val="10"/>
    <w:qFormat/>
    <w:rsid w:val="00255d2e"/>
    <w:rPr>
      <w:rFonts w:ascii="Times New Roman" w:hAnsi="Times New Roman" w:eastAsia="" w:cs="" w:cstheme="majorBidi" w:eastAsiaTheme="majorEastAsia"/>
      <w:b/>
      <w:spacing w:val="-10"/>
      <w:sz w:val="24"/>
      <w:szCs w:val="56"/>
      <w14:ligatures w14:val="none"/>
    </w:rPr>
  </w:style>
  <w:style w:type="character" w:styleId="LinkdaInternet">
    <w:name w:val="Link da Internet"/>
    <w:basedOn w:val="DefaultParagraphFont"/>
    <w:uiPriority w:val="99"/>
    <w:unhideWhenUsed/>
    <w:rsid w:val="00255d2e"/>
    <w:rPr>
      <w:color w:val="0563C1" w:themeColor="hyperlink"/>
      <w:u w:val="single"/>
    </w:rPr>
  </w:style>
  <w:style w:type="character" w:styleId="CorpodoTextoChar" w:customStyle="1">
    <w:name w:val="Corpo do Texto Char"/>
    <w:basedOn w:val="DefaultParagraphFont"/>
    <w:link w:val="CorpodoTexto"/>
    <w:qFormat/>
    <w:rsid w:val="00255d2e"/>
    <w:rPr>
      <w:rFonts w:ascii="Times New Roman" w:hAnsi="Times New Roman" w:eastAsia="" w:cs="Times New Roman" w:eastAsiaTheme="minorEastAsia"/>
      <w:sz w:val="24"/>
      <w:szCs w:val="24"/>
      <w:lang w:eastAsia="pt-BR"/>
      <w14:ligatures w14:val="none"/>
    </w:rPr>
  </w:style>
  <w:style w:type="character" w:styleId="UnresolvedMention">
    <w:name w:val="Unresolved Mention"/>
    <w:basedOn w:val="DefaultParagraphFont"/>
    <w:uiPriority w:val="99"/>
    <w:semiHidden/>
    <w:unhideWhenUsed/>
    <w:qFormat/>
    <w:rsid w:val="00e66fb8"/>
    <w:rPr>
      <w:color w:val="605E5C"/>
      <w:shd w:fill="E1DFDD" w:val="clear"/>
    </w:rPr>
  </w:style>
  <w:style w:type="character" w:styleId="Strong">
    <w:name w:val="Strong"/>
    <w:basedOn w:val="DefaultParagraphFont"/>
    <w:uiPriority w:val="22"/>
    <w:qFormat/>
    <w:rsid w:val="00096942"/>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Light" w:hAnsi="Calibri Light"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Rodap">
    <w:name w:val="Footer"/>
    <w:basedOn w:val="Normal"/>
    <w:link w:val="RodapChar"/>
    <w:uiPriority w:val="99"/>
    <w:unhideWhenUsed/>
    <w:rsid w:val="00255d2e"/>
    <w:pPr>
      <w:tabs>
        <w:tab w:val="center" w:pos="4252" w:leader="none"/>
        <w:tab w:val="right" w:pos="8504" w:leader="none"/>
      </w:tabs>
      <w:spacing w:lineRule="auto" w:line="240" w:before="0" w:after="0"/>
    </w:pPr>
    <w:rPr/>
  </w:style>
  <w:style w:type="paragraph" w:styleId="Ttulododocumento">
    <w:name w:val="Title"/>
    <w:basedOn w:val="Normal"/>
    <w:next w:val="Normal"/>
    <w:link w:val="TtuloChar"/>
    <w:uiPriority w:val="10"/>
    <w:qFormat/>
    <w:rsid w:val="00255d2e"/>
    <w:pPr>
      <w:spacing w:before="0" w:after="0"/>
      <w:contextualSpacing/>
      <w:jc w:val="center"/>
    </w:pPr>
    <w:rPr>
      <w:rFonts w:eastAsia="" w:cs="" w:cstheme="majorBidi" w:eastAsiaTheme="majorEastAsia"/>
      <w:b/>
      <w:spacing w:val="-10"/>
      <w:szCs w:val="56"/>
    </w:rPr>
  </w:style>
  <w:style w:type="paragraph" w:styleId="CorpodoTexto" w:customStyle="1">
    <w:name w:val="Corpo do Texto"/>
    <w:basedOn w:val="Normal"/>
    <w:link w:val="CorpodoTextoChar"/>
    <w:qFormat/>
    <w:rsid w:val="00255d2e"/>
    <w:pPr>
      <w:widowControl w:val="false"/>
      <w:tabs>
        <w:tab w:val="left" w:pos="10348" w:leader="none"/>
      </w:tabs>
      <w:spacing w:before="120" w:after="120"/>
      <w:ind w:firstLine="1134"/>
    </w:pPr>
    <w:rPr>
      <w:rFonts w:eastAsia="" w:cs="Times New Roman" w:eastAsiaTheme="minorEastAsia"/>
      <w:szCs w:val="24"/>
      <w:lang w:eastAsia="pt-BR"/>
    </w:rPr>
  </w:style>
  <w:style w:type="paragraph" w:styleId="Cabealho">
    <w:name w:val="Header"/>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s://cadprev.previdencia.gov.br/Cadprev/pages/modulos/dair/consultarDemonstrativos.xhtml" TargetMode="External"/><Relationship Id="rId8" Type="http://schemas.openxmlformats.org/officeDocument/2006/relationships/image" Target="media/image6.png"/><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hyperlink" Target="http://cadprev.previdencia.gov.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DC-6985-40A7-A66E-1463874F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LibreOffice/5.3.1.2$Windows_X86_64 LibreOffice_project/e80a0e0fd1875e1696614d24c32df0f95f03deb2</Application>
  <Pages>15</Pages>
  <Words>2635</Words>
  <Characters>14636</Characters>
  <CharactersWithSpaces>17320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2025-01-28T10:34:00Z</dcterms:created>
  <dc:creator>Nuria Broll</dc:creator>
  <dc:description/>
  <dc:language>pt-BR</dc:language>
  <cp:lastModifiedBy/>
  <dcterms:modified xsi:type="dcterms:W3CDTF">2025-06-02T16:42:32Z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